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7</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0</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1</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2</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9</w:t>
      </w:r>
      <w:bookmarkStart w:id="0" w:name="_GoBack"/>
      <w:bookmarkEnd w:id="0"/>
    </w:p>
    <w:p>
      <w:r>
        <w:fldChar w:fldCharType="end"/>
      </w:r>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三十五、霸州市岔河集乡西下中心小学收支预算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653.05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653.05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653.05</w:t>
            </w:r>
          </w:p>
        </w:tc>
        <w:tc>
          <w:tcPr>
            <w:tcW w:w="4535" w:type="dxa"/>
            <w:vAlign w:val="center"/>
          </w:tcPr>
          <w:p>
            <w:pPr>
              <w:pStyle w:val="24"/>
            </w:pPr>
            <w:r>
              <w:t>本年支出合计</w:t>
            </w:r>
          </w:p>
        </w:tc>
        <w:tc>
          <w:tcPr>
            <w:tcW w:w="2126" w:type="dxa"/>
            <w:vAlign w:val="center"/>
          </w:tcPr>
          <w:p>
            <w:pPr>
              <w:pStyle w:val="25"/>
            </w:pPr>
            <w:r>
              <w:t>653.05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653.05</w:t>
            </w:r>
          </w:p>
        </w:tc>
        <w:tc>
          <w:tcPr>
            <w:tcW w:w="4535" w:type="dxa"/>
            <w:vAlign w:val="center"/>
          </w:tcPr>
          <w:p>
            <w:pPr>
              <w:pStyle w:val="24"/>
            </w:pPr>
            <w:r>
              <w:t>支出总计</w:t>
            </w:r>
          </w:p>
        </w:tc>
        <w:tc>
          <w:tcPr>
            <w:tcW w:w="2126" w:type="dxa"/>
            <w:vAlign w:val="center"/>
          </w:tcPr>
          <w:p>
            <w:pPr>
              <w:pStyle w:val="25"/>
            </w:pPr>
            <w:r>
              <w:t>653.05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653.05</w:t>
            </w:r>
          </w:p>
        </w:tc>
        <w:tc>
          <w:tcPr>
            <w:tcW w:w="1134" w:type="dxa"/>
            <w:vAlign w:val="center"/>
          </w:tcPr>
          <w:p>
            <w:pPr>
              <w:pStyle w:val="25"/>
            </w:pPr>
            <w:r>
              <w:t>653.05</w:t>
            </w:r>
          </w:p>
        </w:tc>
        <w:tc>
          <w:tcPr>
            <w:tcW w:w="1134" w:type="dxa"/>
            <w:vAlign w:val="center"/>
          </w:tcPr>
          <w:p>
            <w:pPr>
              <w:pStyle w:val="25"/>
            </w:pPr>
            <w:r>
              <w:t>653.05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653.05</w:t>
            </w:r>
          </w:p>
        </w:tc>
        <w:tc>
          <w:tcPr>
            <w:tcW w:w="1134" w:type="dxa"/>
            <w:vAlign w:val="center"/>
          </w:tcPr>
          <w:p>
            <w:pPr>
              <w:pStyle w:val="21"/>
            </w:pPr>
            <w:r>
              <w:t>653.05</w:t>
            </w:r>
          </w:p>
        </w:tc>
        <w:tc>
          <w:tcPr>
            <w:tcW w:w="1134" w:type="dxa"/>
            <w:vAlign w:val="center"/>
          </w:tcPr>
          <w:p>
            <w:pPr>
              <w:pStyle w:val="21"/>
            </w:pPr>
            <w:r>
              <w:t>653.05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653.05</w:t>
            </w:r>
          </w:p>
        </w:tc>
        <w:tc>
          <w:tcPr>
            <w:tcW w:w="1134" w:type="dxa"/>
            <w:vAlign w:val="center"/>
          </w:tcPr>
          <w:p>
            <w:pPr>
              <w:pStyle w:val="21"/>
            </w:pPr>
            <w:r>
              <w:t>653.05</w:t>
            </w:r>
          </w:p>
        </w:tc>
        <w:tc>
          <w:tcPr>
            <w:tcW w:w="1134" w:type="dxa"/>
            <w:vAlign w:val="center"/>
          </w:tcPr>
          <w:p>
            <w:pPr>
              <w:pStyle w:val="21"/>
            </w:pPr>
            <w:r>
              <w:t>653.05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653.05</w:t>
            </w:r>
          </w:p>
        </w:tc>
        <w:tc>
          <w:tcPr>
            <w:tcW w:w="1134" w:type="dxa"/>
            <w:vAlign w:val="center"/>
          </w:tcPr>
          <w:p>
            <w:pPr>
              <w:pStyle w:val="21"/>
            </w:pPr>
            <w:r>
              <w:t>653.05</w:t>
            </w:r>
          </w:p>
        </w:tc>
        <w:tc>
          <w:tcPr>
            <w:tcW w:w="1134" w:type="dxa"/>
            <w:vAlign w:val="center"/>
          </w:tcPr>
          <w:p>
            <w:pPr>
              <w:pStyle w:val="21"/>
            </w:pPr>
            <w:r>
              <w:t>653.05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653.05</w:t>
            </w:r>
          </w:p>
        </w:tc>
        <w:tc>
          <w:tcPr>
            <w:tcW w:w="1361" w:type="dxa"/>
            <w:vAlign w:val="center"/>
          </w:tcPr>
          <w:p>
            <w:pPr>
              <w:pStyle w:val="25"/>
            </w:pPr>
            <w:r>
              <w:t>635.70</w:t>
            </w:r>
          </w:p>
        </w:tc>
        <w:tc>
          <w:tcPr>
            <w:tcW w:w="1361" w:type="dxa"/>
            <w:vAlign w:val="center"/>
          </w:tcPr>
          <w:p>
            <w:pPr>
              <w:pStyle w:val="25"/>
            </w:pPr>
            <w:r>
              <w:t>17.35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653.05</w:t>
            </w:r>
          </w:p>
        </w:tc>
        <w:tc>
          <w:tcPr>
            <w:tcW w:w="1361" w:type="dxa"/>
            <w:vAlign w:val="center"/>
          </w:tcPr>
          <w:p>
            <w:pPr>
              <w:pStyle w:val="21"/>
            </w:pPr>
            <w:r>
              <w:t>635.70</w:t>
            </w:r>
          </w:p>
        </w:tc>
        <w:tc>
          <w:tcPr>
            <w:tcW w:w="1361" w:type="dxa"/>
            <w:vAlign w:val="center"/>
          </w:tcPr>
          <w:p>
            <w:pPr>
              <w:pStyle w:val="21"/>
            </w:pPr>
            <w:r>
              <w:t>17.35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653.05</w:t>
            </w:r>
          </w:p>
        </w:tc>
        <w:tc>
          <w:tcPr>
            <w:tcW w:w="1361" w:type="dxa"/>
            <w:vAlign w:val="center"/>
          </w:tcPr>
          <w:p>
            <w:pPr>
              <w:pStyle w:val="21"/>
            </w:pPr>
            <w:r>
              <w:t>635.70</w:t>
            </w:r>
          </w:p>
        </w:tc>
        <w:tc>
          <w:tcPr>
            <w:tcW w:w="1361" w:type="dxa"/>
            <w:vAlign w:val="center"/>
          </w:tcPr>
          <w:p>
            <w:pPr>
              <w:pStyle w:val="21"/>
            </w:pPr>
            <w:r>
              <w:t>17.35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653.05</w:t>
            </w:r>
          </w:p>
        </w:tc>
        <w:tc>
          <w:tcPr>
            <w:tcW w:w="1361" w:type="dxa"/>
            <w:vAlign w:val="center"/>
          </w:tcPr>
          <w:p>
            <w:pPr>
              <w:pStyle w:val="21"/>
            </w:pPr>
            <w:r>
              <w:t>635.70</w:t>
            </w:r>
          </w:p>
        </w:tc>
        <w:tc>
          <w:tcPr>
            <w:tcW w:w="1361" w:type="dxa"/>
            <w:vAlign w:val="center"/>
          </w:tcPr>
          <w:p>
            <w:pPr>
              <w:pStyle w:val="21"/>
            </w:pPr>
            <w:r>
              <w:t>17.35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653.05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653.05</w:t>
            </w:r>
          </w:p>
        </w:tc>
        <w:tc>
          <w:tcPr>
            <w:tcW w:w="1474" w:type="dxa"/>
            <w:vAlign w:val="center"/>
          </w:tcPr>
          <w:p>
            <w:pPr>
              <w:pStyle w:val="21"/>
            </w:pPr>
            <w:r>
              <w:t>653.05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653.05</w:t>
            </w:r>
          </w:p>
        </w:tc>
        <w:tc>
          <w:tcPr>
            <w:tcW w:w="3402" w:type="dxa"/>
            <w:vAlign w:val="center"/>
          </w:tcPr>
          <w:p>
            <w:pPr>
              <w:pStyle w:val="24"/>
            </w:pPr>
            <w:r>
              <w:t>本年支出合计</w:t>
            </w:r>
          </w:p>
        </w:tc>
        <w:tc>
          <w:tcPr>
            <w:tcW w:w="1474" w:type="dxa"/>
            <w:vAlign w:val="center"/>
          </w:tcPr>
          <w:p>
            <w:pPr>
              <w:pStyle w:val="25"/>
            </w:pPr>
            <w:r>
              <w:t>653.05</w:t>
            </w:r>
          </w:p>
        </w:tc>
        <w:tc>
          <w:tcPr>
            <w:tcW w:w="1474" w:type="dxa"/>
            <w:vAlign w:val="center"/>
          </w:tcPr>
          <w:p>
            <w:pPr>
              <w:pStyle w:val="25"/>
            </w:pPr>
            <w:r>
              <w:t>653.05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653.05</w:t>
            </w:r>
          </w:p>
        </w:tc>
        <w:tc>
          <w:tcPr>
            <w:tcW w:w="3402" w:type="dxa"/>
            <w:vAlign w:val="center"/>
          </w:tcPr>
          <w:p>
            <w:pPr>
              <w:pStyle w:val="24"/>
            </w:pPr>
            <w:r>
              <w:t>支出总计</w:t>
            </w:r>
          </w:p>
        </w:tc>
        <w:tc>
          <w:tcPr>
            <w:tcW w:w="1474" w:type="dxa"/>
            <w:vAlign w:val="center"/>
          </w:tcPr>
          <w:p>
            <w:pPr>
              <w:pStyle w:val="25"/>
            </w:pPr>
            <w:r>
              <w:t>653.05</w:t>
            </w:r>
          </w:p>
        </w:tc>
        <w:tc>
          <w:tcPr>
            <w:tcW w:w="1474" w:type="dxa"/>
            <w:vAlign w:val="center"/>
          </w:tcPr>
          <w:p>
            <w:pPr>
              <w:pStyle w:val="25"/>
            </w:pPr>
            <w:r>
              <w:t>653.05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653.05</w:t>
            </w:r>
          </w:p>
        </w:tc>
        <w:tc>
          <w:tcPr>
            <w:tcW w:w="2551" w:type="dxa"/>
            <w:vAlign w:val="center"/>
          </w:tcPr>
          <w:p>
            <w:pPr>
              <w:pStyle w:val="25"/>
            </w:pPr>
            <w:r>
              <w:t>635.70</w:t>
            </w:r>
          </w:p>
        </w:tc>
        <w:tc>
          <w:tcPr>
            <w:tcW w:w="2551" w:type="dxa"/>
            <w:vAlign w:val="center"/>
          </w:tcPr>
          <w:p>
            <w:pPr>
              <w:pStyle w:val="25"/>
            </w:pPr>
            <w:r>
              <w:t>17.35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653.05</w:t>
            </w:r>
          </w:p>
        </w:tc>
        <w:tc>
          <w:tcPr>
            <w:tcW w:w="2551" w:type="dxa"/>
            <w:vAlign w:val="center"/>
          </w:tcPr>
          <w:p>
            <w:pPr>
              <w:pStyle w:val="21"/>
            </w:pPr>
            <w:r>
              <w:t>635.70</w:t>
            </w:r>
          </w:p>
        </w:tc>
        <w:tc>
          <w:tcPr>
            <w:tcW w:w="2551" w:type="dxa"/>
            <w:vAlign w:val="center"/>
          </w:tcPr>
          <w:p>
            <w:pPr>
              <w:pStyle w:val="21"/>
            </w:pPr>
            <w:r>
              <w:t>17.35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653.05</w:t>
            </w:r>
          </w:p>
        </w:tc>
        <w:tc>
          <w:tcPr>
            <w:tcW w:w="2551" w:type="dxa"/>
            <w:vAlign w:val="center"/>
          </w:tcPr>
          <w:p>
            <w:pPr>
              <w:pStyle w:val="21"/>
            </w:pPr>
            <w:r>
              <w:t>635.70</w:t>
            </w:r>
          </w:p>
        </w:tc>
        <w:tc>
          <w:tcPr>
            <w:tcW w:w="2551" w:type="dxa"/>
            <w:vAlign w:val="center"/>
          </w:tcPr>
          <w:p>
            <w:pPr>
              <w:pStyle w:val="21"/>
            </w:pPr>
            <w:r>
              <w:t>17.35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653.05</w:t>
            </w:r>
          </w:p>
        </w:tc>
        <w:tc>
          <w:tcPr>
            <w:tcW w:w="2551" w:type="dxa"/>
            <w:vAlign w:val="center"/>
          </w:tcPr>
          <w:p>
            <w:pPr>
              <w:pStyle w:val="21"/>
            </w:pPr>
            <w:r>
              <w:t>635.70</w:t>
            </w:r>
          </w:p>
        </w:tc>
        <w:tc>
          <w:tcPr>
            <w:tcW w:w="2551" w:type="dxa"/>
            <w:vAlign w:val="center"/>
          </w:tcPr>
          <w:p>
            <w:pPr>
              <w:pStyle w:val="21"/>
            </w:pPr>
            <w:r>
              <w:t>17.35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635.70</w:t>
            </w:r>
          </w:p>
        </w:tc>
        <w:tc>
          <w:tcPr>
            <w:tcW w:w="2551" w:type="dxa"/>
            <w:vAlign w:val="center"/>
          </w:tcPr>
          <w:p>
            <w:pPr>
              <w:pStyle w:val="25"/>
            </w:pPr>
            <w:r>
              <w:t>627.63</w:t>
            </w:r>
          </w:p>
        </w:tc>
        <w:tc>
          <w:tcPr>
            <w:tcW w:w="2551" w:type="dxa"/>
            <w:vAlign w:val="center"/>
          </w:tcPr>
          <w:p>
            <w:pPr>
              <w:pStyle w:val="25"/>
            </w:pPr>
            <w:r>
              <w:t>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506.12</w:t>
            </w:r>
          </w:p>
        </w:tc>
        <w:tc>
          <w:tcPr>
            <w:tcW w:w="2551" w:type="dxa"/>
            <w:vAlign w:val="center"/>
          </w:tcPr>
          <w:p>
            <w:pPr>
              <w:pStyle w:val="21"/>
            </w:pPr>
            <w:r>
              <w:t>506.12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133.37</w:t>
            </w:r>
          </w:p>
        </w:tc>
        <w:tc>
          <w:tcPr>
            <w:tcW w:w="2551" w:type="dxa"/>
            <w:vAlign w:val="center"/>
          </w:tcPr>
          <w:p>
            <w:pPr>
              <w:pStyle w:val="21"/>
            </w:pPr>
            <w:r>
              <w:t>133.37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30.21</w:t>
            </w:r>
          </w:p>
        </w:tc>
        <w:tc>
          <w:tcPr>
            <w:tcW w:w="2551" w:type="dxa"/>
            <w:vAlign w:val="center"/>
          </w:tcPr>
          <w:p>
            <w:pPr>
              <w:pStyle w:val="21"/>
            </w:pPr>
            <w:r>
              <w:t>30.21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176.07</w:t>
            </w:r>
          </w:p>
        </w:tc>
        <w:tc>
          <w:tcPr>
            <w:tcW w:w="2551" w:type="dxa"/>
            <w:vAlign w:val="center"/>
          </w:tcPr>
          <w:p>
            <w:pPr>
              <w:pStyle w:val="21"/>
            </w:pPr>
            <w:r>
              <w:t>176.07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41.79</w:t>
            </w:r>
          </w:p>
        </w:tc>
        <w:tc>
          <w:tcPr>
            <w:tcW w:w="2551" w:type="dxa"/>
            <w:vAlign w:val="center"/>
          </w:tcPr>
          <w:p>
            <w:pPr>
              <w:pStyle w:val="21"/>
            </w:pPr>
            <w:r>
              <w:t>41.79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30.29</w:t>
            </w:r>
          </w:p>
        </w:tc>
        <w:tc>
          <w:tcPr>
            <w:tcW w:w="2551" w:type="dxa"/>
            <w:vAlign w:val="center"/>
          </w:tcPr>
          <w:p>
            <w:pPr>
              <w:pStyle w:val="21"/>
            </w:pPr>
            <w:r>
              <w:t>30.29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12.22</w:t>
            </w:r>
          </w:p>
        </w:tc>
        <w:tc>
          <w:tcPr>
            <w:tcW w:w="2551" w:type="dxa"/>
            <w:vAlign w:val="center"/>
          </w:tcPr>
          <w:p>
            <w:pPr>
              <w:pStyle w:val="21"/>
            </w:pPr>
            <w:r>
              <w:t>12.22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3.60</w:t>
            </w:r>
          </w:p>
        </w:tc>
        <w:tc>
          <w:tcPr>
            <w:tcW w:w="2551" w:type="dxa"/>
            <w:vAlign w:val="center"/>
          </w:tcPr>
          <w:p>
            <w:pPr>
              <w:pStyle w:val="21"/>
            </w:pPr>
            <w:r>
              <w:t>3.60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34.05</w:t>
            </w:r>
          </w:p>
        </w:tc>
        <w:tc>
          <w:tcPr>
            <w:tcW w:w="2551" w:type="dxa"/>
            <w:vAlign w:val="center"/>
          </w:tcPr>
          <w:p>
            <w:pPr>
              <w:pStyle w:val="21"/>
            </w:pPr>
            <w:r>
              <w:t>34.05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44.52</w:t>
            </w:r>
          </w:p>
        </w:tc>
        <w:tc>
          <w:tcPr>
            <w:tcW w:w="2551" w:type="dxa"/>
            <w:vAlign w:val="center"/>
          </w:tcPr>
          <w:p>
            <w:pPr>
              <w:pStyle w:val="21"/>
            </w:pPr>
            <w:r>
              <w:t>44.52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8.07</w:t>
            </w:r>
          </w:p>
        </w:tc>
        <w:tc>
          <w:tcPr>
            <w:tcW w:w="2551" w:type="dxa"/>
            <w:vAlign w:val="center"/>
          </w:tcPr>
          <w:p>
            <w:pPr>
              <w:pStyle w:val="21"/>
            </w:pPr>
          </w:p>
        </w:tc>
        <w:tc>
          <w:tcPr>
            <w:tcW w:w="2551" w:type="dxa"/>
            <w:vAlign w:val="center"/>
          </w:tcPr>
          <w:p>
            <w:pPr>
              <w:pStyle w:val="21"/>
            </w:pPr>
            <w:r>
              <w:t>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4.66</w:t>
            </w:r>
          </w:p>
        </w:tc>
        <w:tc>
          <w:tcPr>
            <w:tcW w:w="2551" w:type="dxa"/>
            <w:vAlign w:val="center"/>
          </w:tcPr>
          <w:p>
            <w:pPr>
              <w:pStyle w:val="21"/>
            </w:pPr>
          </w:p>
        </w:tc>
        <w:tc>
          <w:tcPr>
            <w:tcW w:w="2551" w:type="dxa"/>
            <w:vAlign w:val="center"/>
          </w:tcPr>
          <w:p>
            <w:pPr>
              <w:pStyle w:val="21"/>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3.41</w:t>
            </w:r>
          </w:p>
        </w:tc>
        <w:tc>
          <w:tcPr>
            <w:tcW w:w="2551" w:type="dxa"/>
            <w:vAlign w:val="center"/>
          </w:tcPr>
          <w:p>
            <w:pPr>
              <w:pStyle w:val="21"/>
            </w:pPr>
          </w:p>
        </w:tc>
        <w:tc>
          <w:tcPr>
            <w:tcW w:w="2551" w:type="dxa"/>
            <w:vAlign w:val="center"/>
          </w:tcPr>
          <w:p>
            <w:pPr>
              <w:pStyle w:val="21"/>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121.51</w:t>
            </w:r>
          </w:p>
        </w:tc>
        <w:tc>
          <w:tcPr>
            <w:tcW w:w="2551" w:type="dxa"/>
            <w:vAlign w:val="center"/>
          </w:tcPr>
          <w:p>
            <w:pPr>
              <w:pStyle w:val="21"/>
            </w:pPr>
            <w:r>
              <w:t>121.51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93.23</w:t>
            </w:r>
          </w:p>
        </w:tc>
        <w:tc>
          <w:tcPr>
            <w:tcW w:w="2551" w:type="dxa"/>
            <w:vAlign w:val="center"/>
          </w:tcPr>
          <w:p>
            <w:pPr>
              <w:pStyle w:val="21"/>
            </w:pPr>
            <w:r>
              <w:t>93.23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27.41</w:t>
            </w:r>
          </w:p>
        </w:tc>
        <w:tc>
          <w:tcPr>
            <w:tcW w:w="2551" w:type="dxa"/>
            <w:vAlign w:val="center"/>
          </w:tcPr>
          <w:p>
            <w:pPr>
              <w:pStyle w:val="21"/>
            </w:pPr>
            <w:r>
              <w:t>27.41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霸州市岔河集乡西下中心小学2023年单位预算信息公开情况说明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按照《预算法》、《地方预决算公开操作规程》和《关于进一步推进预算公开工作的实施意见》规定，现将霸州市岔河集乡西下中心小学2023年单位预算公开如下：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我校是全日制小学。全面贯彻国家教育方针</w:t>
      </w:r>
      <w:r>
        <w:t>,</w:t>
      </w:r>
      <w:r>
        <w:rPr>
          <w:rFonts w:hint="eastAsia"/>
        </w:rPr>
        <w:t>培养学生的创新精神与实践能力</w:t>
      </w:r>
      <w:r>
        <w:t>,</w:t>
      </w:r>
      <w:r>
        <w:rPr>
          <w:rFonts w:hint="eastAsia"/>
        </w:rPr>
        <w:t>使之成为社会主义事业的建设者和接班人。负责霸州市岔河集乡西下中心小学教育教学工作。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霸州市岔河集乡西下中心小学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653.05</w:t>
      </w:r>
      <w:r>
        <w:rPr>
          <w:rFonts w:hint="eastAsia" w:ascii="方正仿宋_GBK"/>
        </w:rPr>
        <w:t>万元，其中：一般公共预算收入</w:t>
      </w:r>
      <w:r>
        <w:rPr>
          <w:rFonts w:hint="eastAsia" w:ascii="方正仿宋_GBK"/>
          <w:lang w:eastAsia="zh-CN"/>
        </w:rPr>
        <w:t>653.05</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rPr>
          <w:color w:val="000000"/>
        </w:rPr>
        <w:t>霸州市岔河集乡西下中心小学</w:t>
      </w:r>
      <w:r>
        <w:rPr>
          <w:rFonts w:hint="eastAsia" w:ascii="方正仿宋_GBK"/>
        </w:rPr>
        <w:t>2023年度单位预算中支出预算的总体情况。2023年支出预算</w:t>
      </w:r>
      <w:r>
        <w:rPr>
          <w:rFonts w:hint="eastAsia" w:ascii="方正仿宋_GBK"/>
          <w:lang w:eastAsia="zh-CN"/>
        </w:rPr>
        <w:t>653.05</w:t>
      </w:r>
      <w:r>
        <w:rPr>
          <w:rFonts w:hint="eastAsia" w:ascii="方正仿宋_GBK"/>
        </w:rPr>
        <w:t>万元，其中：基本支出</w:t>
      </w:r>
      <w:r>
        <w:rPr>
          <w:rFonts w:hint="eastAsia" w:ascii="方正仿宋_GBK"/>
          <w:lang w:eastAsia="zh-CN"/>
        </w:rPr>
        <w:t>635.70</w:t>
      </w:r>
      <w:r>
        <w:rPr>
          <w:rFonts w:hint="eastAsia" w:ascii="方正仿宋_GBK"/>
        </w:rPr>
        <w:t>万元，包括人员经费</w:t>
      </w:r>
      <w:r>
        <w:rPr>
          <w:rFonts w:hint="eastAsia" w:ascii="方正仿宋_GBK"/>
          <w:lang w:eastAsia="zh-CN"/>
        </w:rPr>
        <w:t>627.63</w:t>
      </w:r>
      <w:r>
        <w:rPr>
          <w:rFonts w:hint="eastAsia" w:ascii="方正仿宋_GBK"/>
        </w:rPr>
        <w:t>万元和日常公用经费</w:t>
      </w:r>
      <w:r>
        <w:rPr>
          <w:rFonts w:hint="eastAsia" w:ascii="方正仿宋_GBK"/>
          <w:lang w:eastAsia="zh-CN"/>
        </w:rPr>
        <w:t>8.07</w:t>
      </w:r>
      <w:r>
        <w:rPr>
          <w:rFonts w:hint="eastAsia" w:ascii="方正仿宋_GBK"/>
        </w:rPr>
        <w:t>万元；项目支出</w:t>
      </w:r>
      <w:r>
        <w:rPr>
          <w:rFonts w:hint="eastAsia" w:ascii="方正仿宋_GBK"/>
          <w:lang w:eastAsia="zh-CN"/>
        </w:rPr>
        <w:t>17.35</w:t>
      </w:r>
      <w:r>
        <w:rPr>
          <w:rFonts w:hint="eastAsia" w:ascii="方正仿宋_GBK"/>
        </w:rPr>
        <w:t>万元，主要为：日常办公用品、电费、印刷费、物业管理等支出。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653.05</w:t>
      </w:r>
      <w:r>
        <w:rPr>
          <w:rFonts w:hint="eastAsia" w:ascii="方正仿宋_GBK"/>
        </w:rPr>
        <w:t>万元，较2022年预算增加</w:t>
      </w:r>
      <w:r>
        <w:rPr>
          <w:rFonts w:hint="eastAsia" w:ascii="方正仿宋_GBK"/>
          <w:lang w:eastAsia="zh-CN"/>
        </w:rPr>
        <w:t>47</w:t>
      </w:r>
      <w:r>
        <w:rPr>
          <w:rFonts w:hint="eastAsia" w:ascii="方正仿宋_GBK" w:eastAsiaTheme="minorEastAsia"/>
          <w:lang w:eastAsia="zh-CN"/>
        </w:rPr>
        <w:t>.65</w:t>
      </w:r>
      <w:r>
        <w:rPr>
          <w:rFonts w:hint="eastAsia" w:ascii="方正仿宋_GBK"/>
        </w:rPr>
        <w:t>万元，其中：基本支出增加</w:t>
      </w:r>
      <w:r>
        <w:rPr>
          <w:rFonts w:hint="eastAsia" w:ascii="方正仿宋_GBK"/>
          <w:lang w:eastAsia="zh-CN"/>
        </w:rPr>
        <w:t>67.78</w:t>
      </w:r>
      <w:r>
        <w:rPr>
          <w:rFonts w:hint="eastAsia" w:ascii="方正仿宋_GBK"/>
        </w:rPr>
        <w:t>万元，主要为</w:t>
      </w:r>
      <w:r>
        <w:rPr>
          <w:rFonts w:hint="eastAsia" w:ascii="方正仿宋_GBK"/>
          <w:lang w:eastAsia="zh-CN"/>
        </w:rPr>
        <w:t>增加人员经费</w:t>
      </w:r>
      <w:r>
        <w:rPr>
          <w:rFonts w:hint="eastAsia" w:ascii="方正仿宋_GBK"/>
        </w:rPr>
        <w:t>支出；项目支出减少</w:t>
      </w:r>
      <w:r>
        <w:rPr>
          <w:rFonts w:hint="eastAsia" w:ascii="方正仿宋_GBK"/>
          <w:lang w:eastAsia="zh-CN"/>
        </w:rPr>
        <w:t>20.78</w:t>
      </w:r>
      <w:r>
        <w:rPr>
          <w:rFonts w:hint="eastAsia" w:ascii="方正仿宋_GBK"/>
        </w:rPr>
        <w:t>万元，主要为</w:t>
      </w:r>
      <w:r>
        <w:rPr>
          <w:rFonts w:hint="eastAsia" w:ascii="方正仿宋_GBK"/>
          <w:lang w:eastAsia="zh-CN"/>
        </w:rPr>
        <w:t>厕所改造</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8.07</w:t>
      </w:r>
      <w:r>
        <w:rPr>
          <w:rFonts w:hint="eastAsia" w:ascii="方正仿宋_GBK"/>
        </w:rPr>
        <w:t>万元，主要用于办公区的办公用房取暖费、工会经费、福利费、培训费等日常运行支出。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2023年，霸州市岔河集乡西下中心小学安排政府采购预算0.00万元。具体内容见下表。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霸州市岔河集乡西下中心小学上年末固定资产金额为</w:t>
      </w:r>
      <w:r>
        <w:rPr>
          <w:rFonts w:hint="eastAsia" w:eastAsia="方正仿宋_GBK"/>
          <w:color w:val="000000"/>
          <w:sz w:val="28"/>
          <w:lang w:eastAsia="zh-CN"/>
        </w:rPr>
        <w:t>150.1</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501513霸州市岔河集乡西下中心小学</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1.房屋（平方米）</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150.1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ind w:firstLine="630" w:firstLineChars="300"/>
              <w:rPr>
                <w:lang w:eastAsia="zh-CN"/>
              </w:rPr>
            </w:pPr>
            <w:r>
              <w:rPr>
                <w:rFonts w:hint="eastAsia"/>
                <w:lang w:eastAsia="zh-CN"/>
              </w:rPr>
              <w:t>其中：办公用房(平方米)</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2.车辆（台）</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3．单价在20万元以上的设备</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4．其他固定资产</w:t>
            </w:r>
          </w:p>
        </w:tc>
        <w:tc>
          <w:tcPr>
            <w:tcW w:w="2835" w:type="dxa"/>
            <w:vAlign w:val="center"/>
          </w:tcPr>
          <w:p>
            <w:pPr>
              <w:pStyle w:val="23"/>
              <w:rPr>
                <w:lang w:eastAsia="zh-CN"/>
              </w:rPr>
            </w:pPr>
            <w:r>
              <w:rPr>
                <w:rFonts w:hint="eastAsia"/>
                <w:lang w:eastAsia="zh-CN"/>
              </w:rPr>
              <w:t>1828</w:t>
            </w:r>
          </w:p>
        </w:tc>
        <w:tc>
          <w:tcPr>
            <w:tcW w:w="2835" w:type="dxa"/>
            <w:vAlign w:val="center"/>
          </w:tcPr>
          <w:p>
            <w:pPr>
              <w:pStyle w:val="21"/>
              <w:jc w:val="center"/>
              <w:rPr>
                <w:lang w:eastAsia="zh-CN"/>
              </w:rPr>
            </w:pPr>
            <w:r>
              <w:rPr>
                <w:rFonts w:hint="eastAsia"/>
                <w:lang w:eastAsia="zh-CN"/>
              </w:rPr>
              <w:t>150.1</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52e7da26-0d96-4665-98b2-d7ecbfee0e15"/>
  </w:docVars>
  <w:rsids>
    <w:rsidRoot w:val="004A1168"/>
    <w:rsid w:val="00012A57"/>
    <w:rsid w:val="00023429"/>
    <w:rsid w:val="000B7353"/>
    <w:rsid w:val="000C2DF9"/>
    <w:rsid w:val="00136014"/>
    <w:rsid w:val="001B362B"/>
    <w:rsid w:val="001C355A"/>
    <w:rsid w:val="001F67F8"/>
    <w:rsid w:val="002F010E"/>
    <w:rsid w:val="00380200"/>
    <w:rsid w:val="003A2CF0"/>
    <w:rsid w:val="003A5231"/>
    <w:rsid w:val="003B0605"/>
    <w:rsid w:val="003D654A"/>
    <w:rsid w:val="0040769A"/>
    <w:rsid w:val="00464BFB"/>
    <w:rsid w:val="004A1168"/>
    <w:rsid w:val="004D1FE4"/>
    <w:rsid w:val="005B57FD"/>
    <w:rsid w:val="005B7AFC"/>
    <w:rsid w:val="006433A6"/>
    <w:rsid w:val="006D6C4D"/>
    <w:rsid w:val="006F70C6"/>
    <w:rsid w:val="00812A87"/>
    <w:rsid w:val="00861C42"/>
    <w:rsid w:val="00864752"/>
    <w:rsid w:val="0092020D"/>
    <w:rsid w:val="00972810"/>
    <w:rsid w:val="00991EB1"/>
    <w:rsid w:val="009B55A2"/>
    <w:rsid w:val="009E744F"/>
    <w:rsid w:val="00A80758"/>
    <w:rsid w:val="00A826DD"/>
    <w:rsid w:val="00A9064A"/>
    <w:rsid w:val="00A915A7"/>
    <w:rsid w:val="00AA1FB3"/>
    <w:rsid w:val="00AC5D09"/>
    <w:rsid w:val="00AD578B"/>
    <w:rsid w:val="00B6757F"/>
    <w:rsid w:val="00BB35A7"/>
    <w:rsid w:val="00C51C1B"/>
    <w:rsid w:val="00C57197"/>
    <w:rsid w:val="00C672B5"/>
    <w:rsid w:val="00CC7E62"/>
    <w:rsid w:val="00CD339C"/>
    <w:rsid w:val="00CE7672"/>
    <w:rsid w:val="00D513F4"/>
    <w:rsid w:val="00D56DCB"/>
    <w:rsid w:val="00D64AD2"/>
    <w:rsid w:val="00D93167"/>
    <w:rsid w:val="00D9444E"/>
    <w:rsid w:val="00DA7983"/>
    <w:rsid w:val="00E177A0"/>
    <w:rsid w:val="00E20116"/>
    <w:rsid w:val="00E3061C"/>
    <w:rsid w:val="00EF51BF"/>
    <w:rsid w:val="00F01519"/>
    <w:rsid w:val="00FC209C"/>
    <w:rsid w:val="3B6C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21</Pages>
  <Words>5359</Words>
  <Characters>6218</Characters>
  <Lines>64</Lines>
  <Paragraphs>18</Paragraphs>
  <TotalTime>27</TotalTime>
  <ScaleCrop>false</ScaleCrop>
  <LinksUpToDate>false</LinksUpToDate>
  <CharactersWithSpaces>6375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2023-02-27T01:13:00Z</cp:lastPrinted>
  <dcterms:modified xsi:type="dcterms:W3CDTF">2023-02-28T08:13:46Z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FF3B97B74BD34415B12FA937ACB3E253</vt:lpwstr>
  </property>
</Properties>
</file>